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54865" w:rsidRDefault="00401B3F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САМОРЕГУЛИРУЕМАЯ ОРГАНИЗАЦИЯ</w:t>
      </w:r>
      <w:r w:rsidR="00E37F7C">
        <w:rPr>
          <w:b/>
          <w:bCs/>
          <w:sz w:val="28"/>
          <w:szCs w:val="28"/>
        </w:rPr>
        <w:t xml:space="preserve"> </w:t>
      </w:r>
    </w:p>
    <w:p w:rsidR="00401B3F" w:rsidRDefault="005F31E7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  <w:r w:rsidR="00401B3F" w:rsidRPr="008A1C72">
        <w:rPr>
          <w:b/>
          <w:bCs/>
          <w:sz w:val="28"/>
          <w:szCs w:val="28"/>
        </w:rPr>
        <w:t xml:space="preserve"> </w:t>
      </w:r>
    </w:p>
    <w:p w:rsidR="0099438A" w:rsidRDefault="009F081F" w:rsidP="009F0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943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МЕЖРЕГИОНАЛЬНОЕ 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</w:t>
      </w:r>
    </w:p>
    <w:p w:rsidR="00401B3F" w:rsidRPr="00315CD8" w:rsidRDefault="0099438A" w:rsidP="009F0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ТРАНСПОРТНОГО СТРОИТЕЛЬСТВА</w:t>
      </w:r>
      <w:r w:rsidR="009F081F"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401B3F" w:rsidP="0008592C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4A6C" wp14:editId="5348E65A">
                <wp:simplePos x="0" y="0"/>
                <wp:positionH relativeFrom="column">
                  <wp:posOffset>-451485</wp:posOffset>
                </wp:positionH>
                <wp:positionV relativeFrom="paragraph">
                  <wp:posOffset>116357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5F31E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A40D99" w:rsidRDefault="005F31E7" w:rsidP="005F31E7">
      <w:pPr>
        <w:pStyle w:val="a4"/>
        <w:ind w:left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Общего собрания членов</w:t>
      </w:r>
    </w:p>
    <w:p w:rsidR="00401B3F" w:rsidRDefault="005F31E7" w:rsidP="005F31E7">
      <w:pPr>
        <w:pStyle w:val="a4"/>
        <w:spacing w:before="0" w:beforeAutospacing="0" w:after="0" w:afterAutospacing="0"/>
        <w:ind w:left="43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от «15»</w:t>
      </w:r>
      <w:r w:rsidR="00401B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 2015</w:t>
      </w:r>
      <w:r w:rsidR="00401B3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401B3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</w:t>
      </w:r>
    </w:p>
    <w:p w:rsidR="00401B3F" w:rsidRPr="00C030C5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1F344B" w:rsidRDefault="00E37F7C" w:rsidP="00E37F7C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E37F7C" w:rsidRPr="00E37F7C" w:rsidRDefault="005F31E7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99438A">
        <w:rPr>
          <w:rFonts w:ascii="Times New Roman" w:hAnsi="Times New Roman"/>
          <w:b/>
          <w:sz w:val="28"/>
          <w:szCs w:val="28"/>
        </w:rPr>
        <w:t xml:space="preserve">МЕЖРЕГИОНАЛЬНОЕ </w:t>
      </w:r>
      <w:r w:rsidRPr="00E37F7C">
        <w:rPr>
          <w:rFonts w:ascii="Times New Roman" w:hAnsi="Times New Roman"/>
          <w:b/>
          <w:sz w:val="28"/>
          <w:szCs w:val="28"/>
        </w:rPr>
        <w:t>ОБЪЕДИНЕНИЕ</w:t>
      </w:r>
      <w:r w:rsidR="0099438A">
        <w:rPr>
          <w:rFonts w:ascii="Times New Roman" w:hAnsi="Times New Roman"/>
          <w:b/>
          <w:sz w:val="28"/>
          <w:szCs w:val="28"/>
        </w:rPr>
        <w:t xml:space="preserve"> ТРАНСПОРТНОГО СТРОИТЕЛЬСТВА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592C" w:rsidRDefault="0008592C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6C0485">
        <w:rPr>
          <w:rFonts w:ascii="Times New Roman" w:hAnsi="Times New Roman"/>
          <w:b/>
          <w:sz w:val="28"/>
          <w:szCs w:val="28"/>
        </w:rPr>
        <w:t>Москва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5F31E7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FC40A5">
        <w:rPr>
          <w:rFonts w:ascii="Times New Roman" w:hAnsi="Times New Roman" w:cs="Times New Roman"/>
          <w:sz w:val="28"/>
          <w:szCs w:val="28"/>
        </w:rPr>
        <w:t>Межрегиональное о</w:t>
      </w:r>
      <w:r w:rsidR="0062516C" w:rsidRPr="0062516C">
        <w:rPr>
          <w:rFonts w:ascii="Times New Roman" w:hAnsi="Times New Roman" w:cs="Times New Roman"/>
          <w:sz w:val="28"/>
          <w:szCs w:val="28"/>
        </w:rPr>
        <w:t>бъединение</w:t>
      </w:r>
      <w:r w:rsidR="00FC40A5">
        <w:rPr>
          <w:rFonts w:ascii="Times New Roman" w:hAnsi="Times New Roman" w:cs="Times New Roman"/>
          <w:sz w:val="28"/>
          <w:szCs w:val="28"/>
        </w:rPr>
        <w:t xml:space="preserve"> транспортного строительства</w:t>
      </w:r>
      <w:r w:rsidR="0062516C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2516C">
        <w:rPr>
          <w:rFonts w:ascii="Times New Roman" w:hAnsi="Times New Roman" w:cs="Times New Roman"/>
          <w:sz w:val="28"/>
          <w:szCs w:val="28"/>
        </w:rPr>
        <w:t>Правлением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FC40A5">
        <w:rPr>
          <w:rFonts w:ascii="Times New Roman" w:hAnsi="Times New Roman" w:cs="Times New Roman"/>
          <w:sz w:val="28"/>
          <w:szCs w:val="28"/>
        </w:rPr>
        <w:t>Межрегиональное о</w:t>
      </w:r>
      <w:r w:rsidR="00FC40A5" w:rsidRPr="0062516C">
        <w:rPr>
          <w:rFonts w:ascii="Times New Roman" w:hAnsi="Times New Roman" w:cs="Times New Roman"/>
          <w:sz w:val="28"/>
          <w:szCs w:val="28"/>
        </w:rPr>
        <w:t>бъединение</w:t>
      </w:r>
      <w:r w:rsidR="00FC40A5">
        <w:rPr>
          <w:rFonts w:ascii="Times New Roman" w:hAnsi="Times New Roman" w:cs="Times New Roman"/>
          <w:sz w:val="28"/>
          <w:szCs w:val="28"/>
        </w:rPr>
        <w:t xml:space="preserve"> транспортного строительства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1F344B" w:rsidRPr="00E41781">
        <w:rPr>
          <w:rFonts w:ascii="Times New Roman" w:hAnsi="Times New Roman" w:cs="Times New Roman"/>
          <w:sz w:val="28"/>
          <w:szCs w:val="28"/>
        </w:rPr>
        <w:t>тверждён</w:t>
      </w:r>
      <w:proofErr w:type="gramEnd"/>
      <w:r w:rsidR="001F344B" w:rsidRPr="00E41781">
        <w:rPr>
          <w:rFonts w:ascii="Times New Roman" w:hAnsi="Times New Roman" w:cs="Times New Roman"/>
          <w:sz w:val="28"/>
          <w:szCs w:val="28"/>
        </w:rPr>
        <w:t xml:space="preserve"> и введён в действие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</w:t>
      </w:r>
      <w:r w:rsidR="006C0485">
        <w:rPr>
          <w:rFonts w:ascii="Times New Roman" w:hAnsi="Times New Roman" w:cs="Times New Roman"/>
          <w:sz w:val="28"/>
          <w:szCs w:val="28"/>
        </w:rPr>
        <w:t>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FC40A5">
        <w:rPr>
          <w:rFonts w:ascii="Times New Roman" w:hAnsi="Times New Roman" w:cs="Times New Roman"/>
          <w:sz w:val="28"/>
          <w:szCs w:val="28"/>
        </w:rPr>
        <w:t>Межрегиональное о</w:t>
      </w:r>
      <w:r w:rsidR="00FC40A5" w:rsidRPr="0062516C">
        <w:rPr>
          <w:rFonts w:ascii="Times New Roman" w:hAnsi="Times New Roman" w:cs="Times New Roman"/>
          <w:sz w:val="28"/>
          <w:szCs w:val="28"/>
        </w:rPr>
        <w:t>бъединение</w:t>
      </w:r>
      <w:r w:rsidR="00FC40A5">
        <w:rPr>
          <w:rFonts w:ascii="Times New Roman" w:hAnsi="Times New Roman" w:cs="Times New Roman"/>
          <w:sz w:val="28"/>
          <w:szCs w:val="28"/>
        </w:rPr>
        <w:t xml:space="preserve"> транспортного строительства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5F31E7">
        <w:rPr>
          <w:rFonts w:ascii="Times New Roman" w:hAnsi="Times New Roman" w:cs="Times New Roman"/>
          <w:sz w:val="28"/>
          <w:szCs w:val="28"/>
        </w:rPr>
        <w:t xml:space="preserve"> «15» апреля</w:t>
      </w:r>
      <w:r w:rsidR="001F344B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2015</w:t>
      </w:r>
      <w:r w:rsidR="00E37F7C">
        <w:rPr>
          <w:rFonts w:ascii="Times New Roman" w:hAnsi="Times New Roman" w:cs="Times New Roman"/>
          <w:sz w:val="28"/>
          <w:szCs w:val="28"/>
        </w:rPr>
        <w:t xml:space="preserve"> г</w:t>
      </w:r>
      <w:r w:rsidR="005F31E7">
        <w:rPr>
          <w:rFonts w:ascii="Times New Roman" w:hAnsi="Times New Roman" w:cs="Times New Roman"/>
          <w:sz w:val="28"/>
          <w:szCs w:val="28"/>
        </w:rPr>
        <w:t>ода</w:t>
      </w:r>
      <w:r w:rsidR="00A40D99" w:rsidRPr="00A40D99">
        <w:rPr>
          <w:rFonts w:ascii="Times New Roman" w:hAnsi="Times New Roman" w:cs="Times New Roman"/>
          <w:sz w:val="28"/>
          <w:szCs w:val="28"/>
        </w:rPr>
        <w:t xml:space="preserve"> </w:t>
      </w:r>
      <w:r w:rsidR="00A40D99" w:rsidRPr="00E41781">
        <w:rPr>
          <w:rFonts w:ascii="Times New Roman" w:hAnsi="Times New Roman" w:cs="Times New Roman"/>
          <w:sz w:val="28"/>
          <w:szCs w:val="28"/>
        </w:rPr>
        <w:t>№</w:t>
      </w:r>
      <w:r w:rsidR="005F31E7">
        <w:rPr>
          <w:rFonts w:ascii="Times New Roman" w:hAnsi="Times New Roman" w:cs="Times New Roman"/>
          <w:sz w:val="28"/>
          <w:szCs w:val="28"/>
        </w:rPr>
        <w:t xml:space="preserve"> 14</w:t>
      </w:r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FC40A5">
        <w:rPr>
          <w:rFonts w:ascii="Times New Roman" w:hAnsi="Times New Roman" w:cs="Times New Roman"/>
          <w:sz w:val="28"/>
          <w:szCs w:val="28"/>
        </w:rPr>
        <w:t>Межрегиональное о</w:t>
      </w:r>
      <w:r w:rsidR="00FC40A5" w:rsidRPr="0062516C">
        <w:rPr>
          <w:rFonts w:ascii="Times New Roman" w:hAnsi="Times New Roman" w:cs="Times New Roman"/>
          <w:sz w:val="28"/>
          <w:szCs w:val="28"/>
        </w:rPr>
        <w:t>бъединение</w:t>
      </w:r>
      <w:r w:rsidR="00FC40A5">
        <w:rPr>
          <w:rFonts w:ascii="Times New Roman" w:hAnsi="Times New Roman" w:cs="Times New Roman"/>
          <w:sz w:val="28"/>
          <w:szCs w:val="28"/>
        </w:rPr>
        <w:t xml:space="preserve"> транспортного строительства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bookmarkStart w:id="0" w:name="_GoBack"/>
      <w:r w:rsidR="005F31E7">
        <w:rPr>
          <w:rFonts w:ascii="Times New Roman" w:hAnsi="Times New Roman" w:cs="Times New Roman"/>
          <w:sz w:val="28"/>
          <w:szCs w:val="28"/>
        </w:rPr>
        <w:t>Ассоциация</w:t>
      </w:r>
      <w:bookmarkEnd w:id="0"/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>, подлежащих аттестации по правилам, устанавливаемым Ростехнадзором</w:t>
      </w:r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случае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5F31E7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E05BE9" w:rsidRPr="002D4CFC" w:rsidRDefault="0037590C" w:rsidP="00E05BE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5F31E7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Ростехнадзора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</w:t>
      </w:r>
      <w:r w:rsidR="000B38B7">
        <w:rPr>
          <w:rFonts w:ascii="Times New Roman" w:hAnsi="Times New Roman" w:cs="Times New Roman"/>
          <w:sz w:val="28"/>
          <w:szCs w:val="28"/>
        </w:rPr>
        <w:lastRenderedPageBreak/>
        <w:t xml:space="preserve">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Минздравсоцразвития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r w:rsidR="00506478" w:rsidRPr="00627A40">
        <w:rPr>
          <w:rFonts w:ascii="Times New Roman" w:hAnsi="Times New Roman" w:cs="Times New Roman"/>
          <w:sz w:val="28"/>
          <w:szCs w:val="28"/>
        </w:rPr>
        <w:t xml:space="preserve">Минздравсоцразвития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 xml:space="preserve">еречней вредных и (или) опасных производственных факторов </w:t>
      </w:r>
      <w:r w:rsidRPr="002A4E3E">
        <w:rPr>
          <w:rFonts w:ascii="Times New Roman" w:hAnsi="Times New Roman" w:cs="Times New Roman"/>
          <w:sz w:val="28"/>
          <w:szCs w:val="28"/>
        </w:rPr>
        <w:lastRenderedPageBreak/>
        <w:t>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Минздравмедпрома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>ГОСТ Р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>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4" w:rsidRDefault="00034BA4" w:rsidP="00E7262C">
      <w:pPr>
        <w:spacing w:after="0" w:line="240" w:lineRule="auto"/>
      </w:pPr>
      <w:r>
        <w:separator/>
      </w:r>
    </w:p>
  </w:endnote>
  <w:endnote w:type="continuationSeparator" w:id="0">
    <w:p w:rsidR="00034BA4" w:rsidRDefault="00034BA4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C35A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E7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4" w:rsidRDefault="00034BA4" w:rsidP="00E7262C">
      <w:pPr>
        <w:spacing w:after="0" w:line="240" w:lineRule="auto"/>
      </w:pPr>
      <w:r>
        <w:separator/>
      </w:r>
    </w:p>
  </w:footnote>
  <w:footnote w:type="continuationSeparator" w:id="0">
    <w:p w:rsidR="00034BA4" w:rsidRDefault="00034BA4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4BA4"/>
    <w:rsid w:val="00037AF3"/>
    <w:rsid w:val="00056386"/>
    <w:rsid w:val="000657AF"/>
    <w:rsid w:val="000715DB"/>
    <w:rsid w:val="0008592C"/>
    <w:rsid w:val="00090E4D"/>
    <w:rsid w:val="000B38B7"/>
    <w:rsid w:val="000C0FA8"/>
    <w:rsid w:val="000C664E"/>
    <w:rsid w:val="000D667D"/>
    <w:rsid w:val="000E558B"/>
    <w:rsid w:val="000F2260"/>
    <w:rsid w:val="000F3B8F"/>
    <w:rsid w:val="001076D9"/>
    <w:rsid w:val="001126C0"/>
    <w:rsid w:val="00115D27"/>
    <w:rsid w:val="00125B92"/>
    <w:rsid w:val="00127059"/>
    <w:rsid w:val="00133EAF"/>
    <w:rsid w:val="00134C88"/>
    <w:rsid w:val="001355A0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E729A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506478"/>
    <w:rsid w:val="00507567"/>
    <w:rsid w:val="00513F7B"/>
    <w:rsid w:val="0052259E"/>
    <w:rsid w:val="00523A0A"/>
    <w:rsid w:val="00537558"/>
    <w:rsid w:val="00543BEF"/>
    <w:rsid w:val="00543EE9"/>
    <w:rsid w:val="00550B4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31E7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6E7F"/>
    <w:rsid w:val="006E3072"/>
    <w:rsid w:val="00703D89"/>
    <w:rsid w:val="00706CD6"/>
    <w:rsid w:val="0071026D"/>
    <w:rsid w:val="00712AB4"/>
    <w:rsid w:val="00726A72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52F3"/>
    <w:rsid w:val="00797CF5"/>
    <w:rsid w:val="007A226D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483C"/>
    <w:rsid w:val="00814B26"/>
    <w:rsid w:val="0082229E"/>
    <w:rsid w:val="00827859"/>
    <w:rsid w:val="00827EA8"/>
    <w:rsid w:val="00831562"/>
    <w:rsid w:val="008403ED"/>
    <w:rsid w:val="0084402A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9438A"/>
    <w:rsid w:val="009A5779"/>
    <w:rsid w:val="009A6CDE"/>
    <w:rsid w:val="009B09C4"/>
    <w:rsid w:val="009B4551"/>
    <w:rsid w:val="009D15BA"/>
    <w:rsid w:val="009D5DA5"/>
    <w:rsid w:val="009D7F7F"/>
    <w:rsid w:val="009F01A5"/>
    <w:rsid w:val="009F081F"/>
    <w:rsid w:val="009F6608"/>
    <w:rsid w:val="00A00D3F"/>
    <w:rsid w:val="00A035BA"/>
    <w:rsid w:val="00A31399"/>
    <w:rsid w:val="00A379B6"/>
    <w:rsid w:val="00A40D99"/>
    <w:rsid w:val="00A436CB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A4734"/>
    <w:rsid w:val="00AA7C8A"/>
    <w:rsid w:val="00AC3FFD"/>
    <w:rsid w:val="00AE4D66"/>
    <w:rsid w:val="00AF01C1"/>
    <w:rsid w:val="00B018EE"/>
    <w:rsid w:val="00B02255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4B9B"/>
    <w:rsid w:val="00C731F9"/>
    <w:rsid w:val="00C87238"/>
    <w:rsid w:val="00C9151B"/>
    <w:rsid w:val="00C964B2"/>
    <w:rsid w:val="00CA350C"/>
    <w:rsid w:val="00CA6948"/>
    <w:rsid w:val="00CB46F6"/>
    <w:rsid w:val="00CD5D56"/>
    <w:rsid w:val="00CE0650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4C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F05A90"/>
    <w:rsid w:val="00F12ECB"/>
    <w:rsid w:val="00F34244"/>
    <w:rsid w:val="00F5365D"/>
    <w:rsid w:val="00F54040"/>
    <w:rsid w:val="00F6471A"/>
    <w:rsid w:val="00F704DC"/>
    <w:rsid w:val="00F710C0"/>
    <w:rsid w:val="00F7288F"/>
    <w:rsid w:val="00F72F34"/>
    <w:rsid w:val="00F832B7"/>
    <w:rsid w:val="00F87D2F"/>
    <w:rsid w:val="00F94E97"/>
    <w:rsid w:val="00FA4C3A"/>
    <w:rsid w:val="00FB4E65"/>
    <w:rsid w:val="00FC18D0"/>
    <w:rsid w:val="00FC40A5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63E8-4327-4440-92D9-3D5CCDE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2011-11-08T12:27:00Z</cp:lastPrinted>
  <dcterms:created xsi:type="dcterms:W3CDTF">2015-08-11T09:49:00Z</dcterms:created>
  <dcterms:modified xsi:type="dcterms:W3CDTF">2015-08-11T09:49:00Z</dcterms:modified>
</cp:coreProperties>
</file>